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4E02F36" w14:textId="77777777" w:rsidR="00C820DF" w:rsidRPr="00C820DF" w:rsidRDefault="00C820DF" w:rsidP="00C820DF">
      <w:pPr>
        <w:jc w:val="center"/>
        <w:rPr>
          <w:rFonts w:ascii="Times New Roman" w:hAnsi="Times New Roman"/>
          <w:b/>
          <w:sz w:val="28"/>
          <w:szCs w:val="28"/>
          <w:lang w:eastAsia="bg-BG"/>
        </w:rPr>
      </w:pPr>
      <w:r w:rsidRPr="00C820DF">
        <w:rPr>
          <w:rFonts w:ascii="Times New Roman" w:hAnsi="Times New Roman"/>
          <w:b/>
          <w:sz w:val="28"/>
          <w:szCs w:val="28"/>
          <w:lang w:eastAsia="bg-BG"/>
        </w:rPr>
        <w:t>Гаранция за добро изпълнение</w:t>
      </w:r>
    </w:p>
    <w:p w14:paraId="777FED60" w14:textId="77777777" w:rsidR="00C820DF" w:rsidRPr="00C820DF" w:rsidRDefault="00C820DF" w:rsidP="00C820DF">
      <w:pPr>
        <w:jc w:val="center"/>
        <w:rPr>
          <w:rFonts w:ascii="Times New Roman" w:hAnsi="Times New Roman"/>
          <w:b/>
          <w:szCs w:val="24"/>
          <w:lang w:eastAsia="bg-BG"/>
        </w:rPr>
      </w:pPr>
    </w:p>
    <w:p w14:paraId="01C27603" w14:textId="77777777" w:rsidR="00C820DF" w:rsidRPr="009513E5" w:rsidRDefault="00C820DF" w:rsidP="00C820DF">
      <w:pPr>
        <w:autoSpaceDE w:val="0"/>
        <w:jc w:val="both"/>
        <w:rPr>
          <w:rFonts w:ascii="Times New Roman" w:hAnsi="Times New Roman"/>
          <w:b/>
          <w:sz w:val="22"/>
          <w:szCs w:val="22"/>
          <w:lang w:eastAsia="bg-BG"/>
        </w:rPr>
      </w:pPr>
      <w:r w:rsidRPr="009513E5">
        <w:rPr>
          <w:rFonts w:ascii="Times New Roman" w:hAnsi="Times New Roman"/>
          <w:b/>
          <w:sz w:val="22"/>
          <w:szCs w:val="22"/>
          <w:lang w:eastAsia="bg-BG"/>
        </w:rPr>
        <w:t xml:space="preserve">по процедура за избор на изпълнител „Избор с публична покана“ с предмет:  </w:t>
      </w:r>
    </w:p>
    <w:p w14:paraId="007C92B2" w14:textId="77777777" w:rsidR="008B25B6" w:rsidRPr="009513E5" w:rsidRDefault="008B25B6" w:rsidP="008B25B6">
      <w:pPr>
        <w:autoSpaceDE w:val="0"/>
        <w:jc w:val="both"/>
        <w:rPr>
          <w:rFonts w:ascii="Times New Roman" w:hAnsi="Times New Roman"/>
          <w:b/>
          <w:bCs/>
          <w:sz w:val="22"/>
          <w:szCs w:val="22"/>
          <w:u w:val="single"/>
        </w:rPr>
      </w:pPr>
      <w:bookmarkStart w:id="0" w:name="_Hlk167352194"/>
      <w:bookmarkStart w:id="1" w:name="_Hlk133312392"/>
      <w:r w:rsidRPr="009513E5">
        <w:rPr>
          <w:rFonts w:ascii="Times New Roman" w:hAnsi="Times New Roman"/>
          <w:b/>
          <w:bCs/>
          <w:sz w:val="22"/>
          <w:szCs w:val="22"/>
        </w:rPr>
        <w:t>„Доставка и въвеждане в експлоатация на дълготрайни материални активи по следните обособени позиции:</w:t>
      </w:r>
    </w:p>
    <w:p w14:paraId="46145A8E" w14:textId="77777777" w:rsidR="008B25B6" w:rsidRPr="009513E5" w:rsidRDefault="008B25B6" w:rsidP="008B25B6">
      <w:pPr>
        <w:autoSpaceDE w:val="0"/>
        <w:jc w:val="both"/>
        <w:rPr>
          <w:rFonts w:ascii="Times New Roman" w:hAnsi="Times New Roman"/>
          <w:b/>
          <w:bCs/>
          <w:sz w:val="22"/>
          <w:szCs w:val="22"/>
          <w:u w:val="single"/>
        </w:rPr>
      </w:pPr>
      <w:r w:rsidRPr="009513E5">
        <w:rPr>
          <w:rFonts w:ascii="Times New Roman" w:hAnsi="Times New Roman"/>
          <w:b/>
          <w:bCs/>
          <w:sz w:val="22"/>
          <w:szCs w:val="22"/>
          <w:u w:val="single"/>
        </w:rPr>
        <w:t>Обособена позиция 1:</w:t>
      </w:r>
    </w:p>
    <w:p w14:paraId="15E2D3A7" w14:textId="77777777" w:rsidR="008B25B6" w:rsidRPr="009513E5" w:rsidRDefault="008B25B6" w:rsidP="008B25B6">
      <w:pPr>
        <w:numPr>
          <w:ilvl w:val="0"/>
          <w:numId w:val="3"/>
        </w:numPr>
        <w:autoSpaceDE w:val="0"/>
        <w:contextualSpacing/>
        <w:jc w:val="both"/>
        <w:rPr>
          <w:rFonts w:ascii="Times New Roman" w:hAnsi="Times New Roman"/>
          <w:b/>
          <w:bCs/>
          <w:sz w:val="22"/>
          <w:szCs w:val="22"/>
        </w:rPr>
      </w:pPr>
      <w:proofErr w:type="spellStart"/>
      <w:r w:rsidRPr="009513E5">
        <w:rPr>
          <w:rFonts w:ascii="Times New Roman" w:hAnsi="Times New Roman"/>
          <w:b/>
          <w:bCs/>
          <w:sz w:val="22"/>
          <w:szCs w:val="22"/>
          <w:lang w:val="en-US"/>
        </w:rPr>
        <w:t>Двушпинделен</w:t>
      </w:r>
      <w:proofErr w:type="spellEnd"/>
      <w:r w:rsidRPr="009513E5">
        <w:rPr>
          <w:rFonts w:ascii="Times New Roman" w:hAnsi="Times New Roman"/>
          <w:b/>
          <w:bCs/>
          <w:sz w:val="22"/>
          <w:szCs w:val="22"/>
          <w:lang w:val="en-US"/>
        </w:rPr>
        <w:t xml:space="preserve"> </w:t>
      </w:r>
      <w:proofErr w:type="spellStart"/>
      <w:r w:rsidRPr="009513E5">
        <w:rPr>
          <w:rFonts w:ascii="Times New Roman" w:hAnsi="Times New Roman"/>
          <w:b/>
          <w:bCs/>
          <w:sz w:val="22"/>
          <w:szCs w:val="22"/>
          <w:lang w:val="en-US"/>
        </w:rPr>
        <w:t>струг</w:t>
      </w:r>
      <w:proofErr w:type="spellEnd"/>
      <w:r w:rsidRPr="009513E5">
        <w:rPr>
          <w:rFonts w:ascii="Times New Roman" w:hAnsi="Times New Roman"/>
          <w:b/>
          <w:bCs/>
          <w:sz w:val="22"/>
          <w:szCs w:val="22"/>
          <w:lang w:val="en-US"/>
        </w:rPr>
        <w:t xml:space="preserve"> с ЦПУ - 1 </w:t>
      </w:r>
      <w:proofErr w:type="spellStart"/>
      <w:r w:rsidRPr="009513E5">
        <w:rPr>
          <w:rFonts w:ascii="Times New Roman" w:hAnsi="Times New Roman"/>
          <w:b/>
          <w:bCs/>
          <w:sz w:val="22"/>
          <w:szCs w:val="22"/>
          <w:lang w:val="en-US"/>
        </w:rPr>
        <w:t>брой</w:t>
      </w:r>
      <w:proofErr w:type="spellEnd"/>
    </w:p>
    <w:p w14:paraId="39DE7959" w14:textId="77777777" w:rsidR="008B25B6" w:rsidRPr="009513E5" w:rsidRDefault="008B25B6" w:rsidP="008B25B6">
      <w:pPr>
        <w:autoSpaceDE w:val="0"/>
        <w:jc w:val="both"/>
        <w:rPr>
          <w:rFonts w:ascii="Times New Roman" w:hAnsi="Times New Roman"/>
          <w:b/>
          <w:bCs/>
          <w:sz w:val="22"/>
          <w:szCs w:val="22"/>
          <w:u w:val="single"/>
        </w:rPr>
      </w:pPr>
      <w:r w:rsidRPr="009513E5">
        <w:rPr>
          <w:rFonts w:ascii="Times New Roman" w:hAnsi="Times New Roman"/>
          <w:b/>
          <w:bCs/>
          <w:sz w:val="22"/>
          <w:szCs w:val="22"/>
          <w:u w:val="single"/>
        </w:rPr>
        <w:t>Обособена позиция 2:</w:t>
      </w:r>
    </w:p>
    <w:p w14:paraId="26E21058" w14:textId="77777777" w:rsidR="008B25B6" w:rsidRPr="009513E5" w:rsidRDefault="008B25B6" w:rsidP="008B25B6">
      <w:pPr>
        <w:numPr>
          <w:ilvl w:val="0"/>
          <w:numId w:val="3"/>
        </w:numPr>
        <w:autoSpaceDE w:val="0"/>
        <w:contextualSpacing/>
        <w:jc w:val="both"/>
        <w:rPr>
          <w:rFonts w:ascii="Times New Roman" w:hAnsi="Times New Roman"/>
          <w:b/>
          <w:bCs/>
          <w:sz w:val="22"/>
          <w:szCs w:val="22"/>
        </w:rPr>
      </w:pPr>
      <w:r w:rsidRPr="009513E5">
        <w:rPr>
          <w:rFonts w:ascii="Times New Roman" w:hAnsi="Times New Roman"/>
          <w:b/>
          <w:bCs/>
          <w:sz w:val="22"/>
          <w:szCs w:val="22"/>
        </w:rPr>
        <w:t>Роботизирана система за заваряване - 2 броя</w:t>
      </w:r>
    </w:p>
    <w:p w14:paraId="4999BE9C" w14:textId="77777777" w:rsidR="008B25B6" w:rsidRPr="009513E5" w:rsidRDefault="008B25B6" w:rsidP="008B25B6">
      <w:pPr>
        <w:autoSpaceDE w:val="0"/>
        <w:jc w:val="both"/>
        <w:rPr>
          <w:rFonts w:ascii="Times New Roman" w:hAnsi="Times New Roman"/>
          <w:b/>
          <w:bCs/>
          <w:sz w:val="22"/>
          <w:szCs w:val="22"/>
          <w:u w:val="single"/>
        </w:rPr>
      </w:pPr>
      <w:r w:rsidRPr="009513E5">
        <w:rPr>
          <w:rFonts w:ascii="Times New Roman" w:hAnsi="Times New Roman"/>
          <w:b/>
          <w:bCs/>
          <w:sz w:val="22"/>
          <w:szCs w:val="22"/>
          <w:u w:val="single"/>
        </w:rPr>
        <w:t>Обособена позиция 3:</w:t>
      </w:r>
    </w:p>
    <w:p w14:paraId="2FFF4737" w14:textId="2A323AD1" w:rsidR="00225A98" w:rsidRPr="009513E5" w:rsidRDefault="008B25B6" w:rsidP="008B25B6">
      <w:pPr>
        <w:pStyle w:val="ListParagraph"/>
        <w:numPr>
          <w:ilvl w:val="0"/>
          <w:numId w:val="3"/>
        </w:numPr>
        <w:autoSpaceDE w:val="0"/>
        <w:jc w:val="both"/>
        <w:rPr>
          <w:rFonts w:ascii="Times New Roman" w:hAnsi="Times New Roman"/>
          <w:b/>
          <w:bCs/>
          <w:sz w:val="22"/>
          <w:szCs w:val="22"/>
        </w:rPr>
      </w:pPr>
      <w:r w:rsidRPr="009513E5">
        <w:rPr>
          <w:rFonts w:ascii="Times New Roman" w:hAnsi="Times New Roman"/>
          <w:b/>
          <w:bCs/>
          <w:sz w:val="22"/>
          <w:szCs w:val="22"/>
        </w:rPr>
        <w:t>Винтов компресор - 1 брой“</w:t>
      </w:r>
      <w:bookmarkEnd w:id="0"/>
    </w:p>
    <w:bookmarkEnd w:id="1"/>
    <w:p w14:paraId="0D53F9E4" w14:textId="77777777" w:rsidR="00C820DF" w:rsidRPr="009513E5" w:rsidRDefault="00C820DF" w:rsidP="00C820DF">
      <w:pPr>
        <w:autoSpaceDE w:val="0"/>
        <w:jc w:val="both"/>
        <w:rPr>
          <w:rFonts w:ascii="Times New Roman" w:hAnsi="Times New Roman"/>
          <w:b/>
          <w:sz w:val="22"/>
          <w:szCs w:val="22"/>
          <w:lang w:eastAsia="bg-BG"/>
        </w:rPr>
      </w:pPr>
    </w:p>
    <w:p w14:paraId="69A6497C" w14:textId="033322E0" w:rsidR="00C820DF" w:rsidRPr="009513E5" w:rsidRDefault="00C820DF" w:rsidP="00C820DF">
      <w:pPr>
        <w:autoSpaceDE w:val="0"/>
        <w:jc w:val="both"/>
        <w:rPr>
          <w:rFonts w:ascii="Times New Roman" w:hAnsi="Times New Roman"/>
          <w:b/>
          <w:sz w:val="22"/>
          <w:szCs w:val="22"/>
          <w:lang w:eastAsia="bg-BG"/>
        </w:rPr>
      </w:pPr>
      <w:r w:rsidRPr="009513E5">
        <w:rPr>
          <w:rFonts w:ascii="Times New Roman" w:hAnsi="Times New Roman"/>
          <w:b/>
          <w:sz w:val="22"/>
          <w:szCs w:val="22"/>
          <w:lang w:eastAsia="bg-BG"/>
        </w:rPr>
        <w:t xml:space="preserve">С Вх. рег. №: </w:t>
      </w:r>
      <w:r w:rsidR="008B25B6" w:rsidRPr="009513E5">
        <w:rPr>
          <w:rFonts w:ascii="Times New Roman" w:hAnsi="Times New Roman"/>
          <w:b/>
          <w:sz w:val="22"/>
          <w:szCs w:val="22"/>
          <w:lang w:eastAsia="bg-BG"/>
        </w:rPr>
        <w:t>BG-RRP-3.004-1569-C01</w:t>
      </w:r>
      <w:r w:rsidRPr="009513E5">
        <w:rPr>
          <w:rFonts w:ascii="Times New Roman" w:hAnsi="Times New Roman"/>
          <w:b/>
          <w:sz w:val="22"/>
          <w:szCs w:val="22"/>
          <w:lang w:eastAsia="bg-BG"/>
        </w:rPr>
        <w:t xml:space="preserve"> по процедура BG-RRP-3.004 „Технологична модернизация”, от Програмата за икономическа трансформация към Националния план за възстановяване и устойчивост</w:t>
      </w:r>
    </w:p>
    <w:p w14:paraId="2B5E19F3" w14:textId="77777777" w:rsidR="00C820DF" w:rsidRPr="00C820DF" w:rsidRDefault="00C820DF" w:rsidP="00C820DF">
      <w:pPr>
        <w:autoSpaceDE w:val="0"/>
        <w:jc w:val="both"/>
        <w:rPr>
          <w:rFonts w:ascii="Times New Roman" w:hAnsi="Times New Roman"/>
          <w:szCs w:val="24"/>
          <w:lang w:eastAsia="bg-BG"/>
        </w:rPr>
      </w:pPr>
    </w:p>
    <w:p w14:paraId="54165B70" w14:textId="193FD494" w:rsidR="00C820DF" w:rsidRDefault="009513E5" w:rsidP="00C820DF">
      <w:pPr>
        <w:autoSpaceDE w:val="0"/>
        <w:snapToGrid w:val="0"/>
        <w:ind w:firstLine="708"/>
        <w:jc w:val="both"/>
        <w:rPr>
          <w:rFonts w:ascii="Times New Roman" w:hAnsi="Times New Roman"/>
          <w:bCs/>
          <w:sz w:val="22"/>
          <w:szCs w:val="22"/>
        </w:rPr>
      </w:pPr>
      <w:r w:rsidRPr="009513E5">
        <w:rPr>
          <w:rFonts w:ascii="Times New Roman" w:hAnsi="Times New Roman"/>
          <w:bCs/>
          <w:sz w:val="22"/>
          <w:szCs w:val="22"/>
        </w:rPr>
        <w:t xml:space="preserve">Счита се за отказ от сключване на Договора за доставка, когато участникът в процедурата не внесе определената гаранция за добро изпълнение преди крайния срок за подписване на договора. Внасянето на гаранцията се доказва с представяне на документи за внесена гаранция за добро изпълнение – оригинал на банкова гаранция в полза на </w:t>
      </w:r>
      <w:r>
        <w:rPr>
          <w:rFonts w:ascii="Times New Roman" w:hAnsi="Times New Roman"/>
          <w:bCs/>
          <w:sz w:val="22"/>
          <w:szCs w:val="22"/>
        </w:rPr>
        <w:t>„КОЛОС“ ЕООД</w:t>
      </w:r>
      <w:r w:rsidRPr="009513E5">
        <w:rPr>
          <w:rFonts w:ascii="Times New Roman" w:hAnsi="Times New Roman"/>
          <w:bCs/>
          <w:sz w:val="22"/>
          <w:szCs w:val="22"/>
        </w:rPr>
        <w:t xml:space="preserve">, оригинал на застрахователна полица в полза на </w:t>
      </w:r>
      <w:r>
        <w:rPr>
          <w:rFonts w:ascii="Times New Roman" w:hAnsi="Times New Roman"/>
          <w:bCs/>
          <w:sz w:val="22"/>
          <w:szCs w:val="22"/>
        </w:rPr>
        <w:t>„КОЛОС“ ЕООД</w:t>
      </w:r>
      <w:r w:rsidRPr="009513E5">
        <w:rPr>
          <w:rFonts w:ascii="Times New Roman" w:hAnsi="Times New Roman"/>
          <w:bCs/>
          <w:sz w:val="22"/>
          <w:szCs w:val="22"/>
        </w:rPr>
        <w:t xml:space="preserve"> </w:t>
      </w:r>
      <w:r w:rsidRPr="009513E5">
        <w:rPr>
          <w:rFonts w:ascii="Times New Roman" w:hAnsi="Times New Roman"/>
          <w:bCs/>
          <w:sz w:val="22"/>
          <w:szCs w:val="22"/>
        </w:rPr>
        <w:t xml:space="preserve">или копие от преводно нареждане за извършения банков превод в полза на </w:t>
      </w:r>
      <w:r>
        <w:rPr>
          <w:rFonts w:ascii="Times New Roman" w:hAnsi="Times New Roman"/>
          <w:bCs/>
          <w:sz w:val="22"/>
          <w:szCs w:val="22"/>
        </w:rPr>
        <w:t>„КОЛОС“ ЕООД</w:t>
      </w:r>
      <w:r w:rsidRPr="009513E5">
        <w:rPr>
          <w:rFonts w:ascii="Times New Roman" w:hAnsi="Times New Roman"/>
          <w:bCs/>
          <w:sz w:val="22"/>
          <w:szCs w:val="22"/>
        </w:rPr>
        <w:t xml:space="preserve"> </w:t>
      </w:r>
      <w:r w:rsidRPr="009513E5">
        <w:rPr>
          <w:rFonts w:ascii="Times New Roman" w:hAnsi="Times New Roman"/>
          <w:bCs/>
          <w:sz w:val="22"/>
          <w:szCs w:val="22"/>
        </w:rPr>
        <w:t xml:space="preserve">или вносна бележка по долупосочената банкова сметка на </w:t>
      </w:r>
      <w:r>
        <w:rPr>
          <w:rFonts w:ascii="Times New Roman" w:hAnsi="Times New Roman"/>
          <w:bCs/>
          <w:sz w:val="22"/>
          <w:szCs w:val="22"/>
        </w:rPr>
        <w:t>„КОЛОС“ ЕООД</w:t>
      </w:r>
      <w:r w:rsidRPr="009513E5">
        <w:rPr>
          <w:rFonts w:ascii="Times New Roman" w:hAnsi="Times New Roman"/>
          <w:bCs/>
          <w:sz w:val="22"/>
          <w:szCs w:val="22"/>
        </w:rPr>
        <w:t xml:space="preserve">, заверени от кандидата с подпис, печат и текст „Вярно с оригинала“. </w:t>
      </w:r>
      <w:r w:rsidR="00C820DF" w:rsidRPr="00225A98">
        <w:rPr>
          <w:rFonts w:ascii="Times New Roman" w:hAnsi="Times New Roman"/>
          <w:bCs/>
          <w:sz w:val="22"/>
          <w:szCs w:val="22"/>
        </w:rPr>
        <w:t xml:space="preserve"> Когато кандидатът избере гаранцията за добро изпълнение да бъде банкова гаранция, тогава в нея трябва да бъде изрично записано, че тя е безусловна и неотменима, че е в полза на възложителя и че е със срок на валидност – най-малко срока на изпълнение на договора.</w:t>
      </w:r>
    </w:p>
    <w:p w14:paraId="78BEC18F" w14:textId="77777777" w:rsidR="00C820DF" w:rsidRPr="00C820DF" w:rsidRDefault="00C820DF" w:rsidP="00C820DF">
      <w:pPr>
        <w:autoSpaceDE w:val="0"/>
        <w:snapToGrid w:val="0"/>
        <w:ind w:firstLine="708"/>
        <w:jc w:val="both"/>
        <w:rPr>
          <w:rFonts w:ascii="Times New Roman" w:hAnsi="Times New Roman"/>
          <w:bCs/>
          <w:szCs w:val="24"/>
        </w:rPr>
      </w:pPr>
    </w:p>
    <w:p w14:paraId="7DE7F5C3" w14:textId="77777777" w:rsidR="009513E5" w:rsidRPr="009513E5" w:rsidRDefault="009513E5" w:rsidP="009513E5">
      <w:pPr>
        <w:autoSpaceDE w:val="0"/>
        <w:snapToGrid w:val="0"/>
        <w:ind w:firstLine="708"/>
        <w:jc w:val="both"/>
        <w:rPr>
          <w:rFonts w:ascii="Times New Roman" w:hAnsi="Times New Roman"/>
          <w:b/>
          <w:sz w:val="22"/>
          <w:szCs w:val="22"/>
        </w:rPr>
      </w:pPr>
      <w:r w:rsidRPr="009513E5">
        <w:rPr>
          <w:rFonts w:ascii="Times New Roman" w:hAnsi="Times New Roman"/>
          <w:b/>
          <w:sz w:val="22"/>
          <w:szCs w:val="22"/>
        </w:rPr>
        <w:t>Банка: Обединена Българска Банка</w:t>
      </w:r>
    </w:p>
    <w:p w14:paraId="46CC2A15" w14:textId="77777777" w:rsidR="009513E5" w:rsidRPr="009513E5" w:rsidRDefault="009513E5" w:rsidP="009513E5">
      <w:pPr>
        <w:autoSpaceDE w:val="0"/>
        <w:snapToGrid w:val="0"/>
        <w:ind w:firstLine="708"/>
        <w:jc w:val="both"/>
        <w:rPr>
          <w:rFonts w:ascii="Times New Roman" w:hAnsi="Times New Roman"/>
          <w:b/>
          <w:sz w:val="22"/>
          <w:szCs w:val="22"/>
        </w:rPr>
      </w:pPr>
      <w:r w:rsidRPr="009513E5">
        <w:rPr>
          <w:rFonts w:ascii="Times New Roman" w:hAnsi="Times New Roman"/>
          <w:b/>
          <w:sz w:val="22"/>
          <w:szCs w:val="22"/>
        </w:rPr>
        <w:t>IBAN: UBBSBGSF</w:t>
      </w:r>
    </w:p>
    <w:p w14:paraId="14A836A2" w14:textId="2177455E" w:rsidR="00C820DF" w:rsidRPr="009513E5" w:rsidRDefault="009513E5" w:rsidP="009513E5">
      <w:pPr>
        <w:autoSpaceDE w:val="0"/>
        <w:snapToGrid w:val="0"/>
        <w:ind w:firstLine="708"/>
        <w:jc w:val="both"/>
        <w:rPr>
          <w:rFonts w:ascii="Times New Roman" w:hAnsi="Times New Roman"/>
          <w:b/>
          <w:sz w:val="22"/>
          <w:szCs w:val="22"/>
        </w:rPr>
      </w:pPr>
      <w:r w:rsidRPr="009513E5">
        <w:rPr>
          <w:rFonts w:ascii="Times New Roman" w:hAnsi="Times New Roman"/>
          <w:b/>
          <w:sz w:val="22"/>
          <w:szCs w:val="22"/>
        </w:rPr>
        <w:t>BIC: BG67UBBS80021063549150</w:t>
      </w:r>
    </w:p>
    <w:p w14:paraId="144497E1" w14:textId="77777777" w:rsidR="00C820DF" w:rsidRPr="009513E5" w:rsidRDefault="00C820DF" w:rsidP="00C820DF">
      <w:pPr>
        <w:autoSpaceDE w:val="0"/>
        <w:snapToGrid w:val="0"/>
        <w:ind w:firstLine="708"/>
        <w:jc w:val="both"/>
        <w:rPr>
          <w:rFonts w:ascii="Times New Roman" w:hAnsi="Times New Roman"/>
          <w:bCs/>
          <w:sz w:val="22"/>
          <w:szCs w:val="22"/>
        </w:rPr>
      </w:pPr>
    </w:p>
    <w:p w14:paraId="35B905BA" w14:textId="77777777" w:rsidR="009513E5" w:rsidRPr="00225A98" w:rsidRDefault="009513E5" w:rsidP="009513E5">
      <w:pPr>
        <w:autoSpaceDE w:val="0"/>
        <w:snapToGrid w:val="0"/>
        <w:ind w:firstLine="708"/>
        <w:jc w:val="both"/>
        <w:rPr>
          <w:rFonts w:ascii="Times New Roman" w:hAnsi="Times New Roman"/>
          <w:bCs/>
          <w:sz w:val="22"/>
          <w:szCs w:val="22"/>
        </w:rPr>
      </w:pPr>
      <w:r w:rsidRPr="009513E5">
        <w:rPr>
          <w:rFonts w:ascii="Times New Roman" w:hAnsi="Times New Roman"/>
          <w:bCs/>
          <w:sz w:val="22"/>
          <w:szCs w:val="22"/>
        </w:rPr>
        <w:t>В случай, че гаранцията за добро изпълнение е под формата на застраховка “Гаранции“, тя обезпечава изпълнението чрез покритие на отговорността на изпълнителя. Застраховката не може да бъде използвана за обезпечение на отговорността на изпълнителя по друг договор. Текстът на застраховката съдържа номера на договора и е със срок на валидност – най-малко срока на изпълнение на договора.</w:t>
      </w:r>
    </w:p>
    <w:p w14:paraId="268360F7" w14:textId="77777777" w:rsidR="00C820DF" w:rsidRPr="00225A98" w:rsidRDefault="00C820DF" w:rsidP="00C820DF">
      <w:pPr>
        <w:autoSpaceDE w:val="0"/>
        <w:snapToGrid w:val="0"/>
        <w:ind w:firstLine="708"/>
        <w:jc w:val="both"/>
        <w:rPr>
          <w:rFonts w:ascii="Times New Roman" w:hAnsi="Times New Roman"/>
          <w:sz w:val="22"/>
          <w:szCs w:val="22"/>
          <w:lang w:eastAsia="bg-BG"/>
        </w:rPr>
      </w:pPr>
      <w:r w:rsidRPr="00225A98">
        <w:rPr>
          <w:rFonts w:ascii="Times New Roman" w:hAnsi="Times New Roman"/>
          <w:sz w:val="22"/>
          <w:szCs w:val="22"/>
          <w:lang w:eastAsia="bg-BG"/>
        </w:rPr>
        <w:t>ВЪЗЛОЖИТЕЛЯТ не дължи лихви върху сумата по гаранцията.</w:t>
      </w:r>
    </w:p>
    <w:p w14:paraId="192BAF7C" w14:textId="77777777" w:rsidR="00C820DF" w:rsidRPr="00225A98" w:rsidRDefault="00C820DF" w:rsidP="00C820DF">
      <w:pPr>
        <w:autoSpaceDE w:val="0"/>
        <w:snapToGrid w:val="0"/>
        <w:ind w:firstLine="708"/>
        <w:jc w:val="both"/>
        <w:rPr>
          <w:rFonts w:ascii="Times New Roman" w:hAnsi="Times New Roman"/>
          <w:sz w:val="22"/>
          <w:szCs w:val="22"/>
          <w:lang w:eastAsia="bg-BG"/>
        </w:rPr>
      </w:pPr>
      <w:r w:rsidRPr="00225A98">
        <w:rPr>
          <w:rFonts w:ascii="Times New Roman" w:hAnsi="Times New Roman"/>
          <w:sz w:val="22"/>
          <w:szCs w:val="22"/>
          <w:lang w:eastAsia="bg-BG"/>
        </w:rPr>
        <w:t xml:space="preserve">ВЪЗЛОЖИТЕЛЯТ има право да се удовлетвори от гаранцията, при неточно изпълнение на задължения по договора от страна на ИЗПЪЛНИТЕЛЯ. </w:t>
      </w:r>
    </w:p>
    <w:p w14:paraId="3BF7F406" w14:textId="77777777" w:rsidR="00C820DF" w:rsidRPr="00225A98" w:rsidRDefault="00C820DF" w:rsidP="00C820DF">
      <w:pPr>
        <w:autoSpaceDE w:val="0"/>
        <w:snapToGrid w:val="0"/>
        <w:ind w:firstLine="708"/>
        <w:jc w:val="both"/>
        <w:rPr>
          <w:rFonts w:ascii="Times New Roman" w:hAnsi="Times New Roman"/>
          <w:sz w:val="22"/>
          <w:szCs w:val="22"/>
          <w:lang w:eastAsia="bg-BG"/>
        </w:rPr>
      </w:pPr>
      <w:r w:rsidRPr="00225A98">
        <w:rPr>
          <w:rFonts w:ascii="Times New Roman" w:hAnsi="Times New Roman"/>
          <w:sz w:val="22"/>
          <w:szCs w:val="22"/>
          <w:lang w:eastAsia="bg-BG"/>
        </w:rPr>
        <w:t>ВЪЗЛОЖИТЕЛЯТ има право да усвои такава част от гаранцията, която покрива отговорността на ИЗПЪЛНИТЕЛЯ за неизпълнението.</w:t>
      </w:r>
    </w:p>
    <w:p w14:paraId="32596B10" w14:textId="77777777" w:rsidR="00C820DF" w:rsidRPr="00225A98" w:rsidRDefault="00C820DF" w:rsidP="00C820DF">
      <w:pPr>
        <w:autoSpaceDE w:val="0"/>
        <w:snapToGrid w:val="0"/>
        <w:ind w:firstLine="708"/>
        <w:jc w:val="both"/>
        <w:rPr>
          <w:rFonts w:ascii="Times New Roman" w:hAnsi="Times New Roman"/>
          <w:sz w:val="22"/>
          <w:szCs w:val="22"/>
          <w:lang w:eastAsia="bg-BG"/>
        </w:rPr>
      </w:pPr>
      <w:r w:rsidRPr="00225A98">
        <w:rPr>
          <w:rFonts w:ascii="Times New Roman" w:hAnsi="Times New Roman"/>
          <w:sz w:val="22"/>
          <w:szCs w:val="22"/>
          <w:lang w:eastAsia="bg-BG"/>
        </w:rPr>
        <w:t>При едностранно прекратяване на договора от страна на ВЪЗЛОЖИТЕЛЯ, поради виновно неизпълнение на задължения на ИЗПЪЛНИТЕЛЯ по договора, сумата от гаранцията се усвоява изцяло като обезщетение за прекратяване на договора.</w:t>
      </w:r>
    </w:p>
    <w:p w14:paraId="2B6D1955" w14:textId="77777777" w:rsidR="00C820DF" w:rsidRPr="00225A98" w:rsidRDefault="00C820DF" w:rsidP="00C820DF">
      <w:pPr>
        <w:autoSpaceDE w:val="0"/>
        <w:snapToGrid w:val="0"/>
        <w:ind w:firstLine="708"/>
        <w:jc w:val="both"/>
        <w:rPr>
          <w:rFonts w:ascii="Times New Roman" w:hAnsi="Times New Roman"/>
          <w:sz w:val="22"/>
          <w:szCs w:val="22"/>
          <w:lang w:eastAsia="bg-BG"/>
        </w:rPr>
      </w:pPr>
      <w:r w:rsidRPr="00225A98">
        <w:rPr>
          <w:rFonts w:ascii="Times New Roman" w:hAnsi="Times New Roman"/>
          <w:sz w:val="22"/>
          <w:szCs w:val="22"/>
          <w:lang w:eastAsia="bg-BG"/>
        </w:rPr>
        <w:t xml:space="preserve">ВЪЗЛОЖИТЕЛЯТ има право да усвоява дължимите суми за неустойки и обезщетения във връзка с неизпълнение на договора от гаранцията за добро изпълнение. </w:t>
      </w:r>
    </w:p>
    <w:p w14:paraId="1371A786" w14:textId="77777777" w:rsidR="00C820DF" w:rsidRPr="00225A98" w:rsidRDefault="00C820DF" w:rsidP="00C820DF">
      <w:pPr>
        <w:autoSpaceDE w:val="0"/>
        <w:snapToGrid w:val="0"/>
        <w:ind w:firstLine="708"/>
        <w:jc w:val="both"/>
        <w:rPr>
          <w:rFonts w:ascii="Times New Roman" w:hAnsi="Times New Roman"/>
          <w:sz w:val="22"/>
          <w:szCs w:val="22"/>
          <w:lang w:eastAsia="bg-BG"/>
        </w:rPr>
      </w:pPr>
      <w:r w:rsidRPr="00225A98">
        <w:rPr>
          <w:rFonts w:ascii="Times New Roman" w:hAnsi="Times New Roman"/>
          <w:sz w:val="22"/>
          <w:szCs w:val="22"/>
          <w:lang w:eastAsia="bg-BG"/>
        </w:rPr>
        <w:t xml:space="preserve">В случай че неизпълнението на задълженията по </w:t>
      </w:r>
      <w:r w:rsidRPr="00225A98">
        <w:rPr>
          <w:rFonts w:ascii="Times New Roman" w:hAnsi="Times New Roman"/>
          <w:bCs/>
          <w:sz w:val="22"/>
          <w:szCs w:val="22"/>
        </w:rPr>
        <w:t>договора за доставка</w:t>
      </w:r>
      <w:r w:rsidRPr="00225A98">
        <w:rPr>
          <w:rFonts w:ascii="Times New Roman" w:hAnsi="Times New Roman"/>
          <w:sz w:val="22"/>
          <w:szCs w:val="22"/>
          <w:lang w:eastAsia="bg-BG"/>
        </w:rPr>
        <w:t xml:space="preserve"> от страна на ИЗПЪЛНИТЕЛЯ по стойност превишава размера на гаранцията, ВЪЗЛОЖИТЕЛЯТ има право да търси обезщетение по общия ред.</w:t>
      </w:r>
    </w:p>
    <w:p w14:paraId="1CBC0E78" w14:textId="033C651A" w:rsidR="00CB37CB" w:rsidRPr="00692A47" w:rsidRDefault="00C820DF" w:rsidP="00225A98">
      <w:pPr>
        <w:autoSpaceDE w:val="0"/>
        <w:snapToGrid w:val="0"/>
        <w:ind w:firstLine="708"/>
        <w:jc w:val="both"/>
        <w:rPr>
          <w:lang w:val="en-US"/>
        </w:rPr>
      </w:pPr>
      <w:r w:rsidRPr="00225A98">
        <w:rPr>
          <w:rFonts w:ascii="Times New Roman" w:hAnsi="Times New Roman"/>
          <w:sz w:val="22"/>
          <w:szCs w:val="22"/>
          <w:lang w:eastAsia="bg-BG"/>
        </w:rPr>
        <w:t xml:space="preserve">При пълно, точно и качествено изпълнение на задълженията на ИЗПЪЛНИТЕЛЯ по </w:t>
      </w:r>
      <w:r w:rsidRPr="00225A98">
        <w:rPr>
          <w:rFonts w:ascii="Times New Roman" w:hAnsi="Times New Roman"/>
          <w:bCs/>
          <w:sz w:val="22"/>
          <w:szCs w:val="22"/>
        </w:rPr>
        <w:t>договора за доставка</w:t>
      </w:r>
      <w:r w:rsidRPr="00225A98">
        <w:rPr>
          <w:rFonts w:ascii="Times New Roman" w:hAnsi="Times New Roman"/>
          <w:sz w:val="22"/>
          <w:szCs w:val="22"/>
          <w:lang w:eastAsia="bg-BG"/>
        </w:rPr>
        <w:t>, ВЪЗЛОЖИТЕЛЯТ е длъжен да възстанови по банкова сметка на ИЗПЪЛНИТЕЛЯ представената от последния гаранция за добро изпълнение на договора или, когато  гаранцията за добро изпълнение е под формата на банкова гаранция, да върне банковата гаранция на ИЗПЪЛНИТЕЛЯ, в срок до 10 работни дни от подписването на приемо - предавателния протокол по чл. 2 от договор</w:t>
      </w:r>
      <w:r w:rsidRPr="00225A98">
        <w:rPr>
          <w:rFonts w:ascii="Times New Roman" w:hAnsi="Times New Roman"/>
          <w:sz w:val="22"/>
          <w:szCs w:val="22"/>
          <w:lang w:val="en-US" w:eastAsia="bg-BG"/>
        </w:rPr>
        <w:t xml:space="preserve">a </w:t>
      </w:r>
      <w:r w:rsidRPr="00225A98">
        <w:rPr>
          <w:rFonts w:ascii="Times New Roman" w:hAnsi="Times New Roman"/>
          <w:sz w:val="22"/>
          <w:szCs w:val="22"/>
          <w:lang w:eastAsia="bg-BG"/>
        </w:rPr>
        <w:t>за доставка.</w:t>
      </w:r>
    </w:p>
    <w:sectPr w:rsidR="00CB37CB" w:rsidRPr="00692A47" w:rsidSect="0074430C">
      <w:headerReference w:type="even" r:id="rId8"/>
      <w:headerReference w:type="default" r:id="rId9"/>
      <w:footerReference w:type="even" r:id="rId10"/>
      <w:footerReference w:type="default" r:id="rId11"/>
      <w:headerReference w:type="first" r:id="rId12"/>
      <w:pgSz w:w="11907" w:h="16840" w:code="9"/>
      <w:pgMar w:top="540" w:right="1134" w:bottom="899" w:left="1134" w:header="301" w:footer="587" w:gutter="0"/>
      <w:cols w:space="708"/>
      <w:noEndnote/>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ACF3914" w14:textId="77777777" w:rsidR="006E7EBD" w:rsidRDefault="006E7EBD">
      <w:r>
        <w:separator/>
      </w:r>
    </w:p>
  </w:endnote>
  <w:endnote w:type="continuationSeparator" w:id="0">
    <w:p w14:paraId="56AFA312" w14:textId="77777777" w:rsidR="006E7EBD" w:rsidRDefault="006E7E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barU">
    <w:altName w:val="Courier New"/>
    <w:charset w:val="00"/>
    <w:family w:val="auto"/>
    <w:pitch w:val="variable"/>
    <w:sig w:usb0="00000003"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Futura Bk">
    <w:altName w:val="Century Gothic"/>
    <w:charset w:val="B1"/>
    <w:family w:val="swiss"/>
    <w:pitch w:val="variable"/>
    <w:sig w:usb0="80000867" w:usb1="00000000" w:usb2="00000000" w:usb3="00000000" w:csb0="000001FB" w:csb1="00000000"/>
  </w:font>
  <w:font w:name="Calibri Light">
    <w:panose1 w:val="020F0302020204030204"/>
    <w:charset w:val="CC"/>
    <w:family w:val="swiss"/>
    <w:pitch w:val="variable"/>
    <w:sig w:usb0="E4002EFF" w:usb1="C200247B" w:usb2="00000009" w:usb3="00000000" w:csb0="000001FF" w:csb1="00000000"/>
  </w:font>
  <w:font w:name="Calibri">
    <w:panose1 w:val="020F0502020204030204"/>
    <w:charset w:val="CC"/>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67DE73" w14:textId="77777777" w:rsidR="00CB37CB" w:rsidRDefault="00CB37CB" w:rsidP="00A12FE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8CDCAFB" w14:textId="77777777" w:rsidR="00CB37CB" w:rsidRDefault="00CB37CB" w:rsidP="00961002">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254D85" w14:textId="77777777" w:rsidR="00CB37CB" w:rsidRDefault="00CB37CB" w:rsidP="00A12FE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EC5DB7">
      <w:rPr>
        <w:rStyle w:val="PageNumber"/>
        <w:noProof/>
      </w:rPr>
      <w:t>2</w:t>
    </w:r>
    <w:r>
      <w:rPr>
        <w:rStyle w:val="PageNumber"/>
      </w:rPr>
      <w:fldChar w:fldCharType="end"/>
    </w:r>
  </w:p>
  <w:p w14:paraId="3C1B8F41" w14:textId="77777777" w:rsidR="00CB37CB" w:rsidRDefault="00CB37CB" w:rsidP="00CA02DB">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5F5DE0B" w14:textId="77777777" w:rsidR="006E7EBD" w:rsidRDefault="006E7EBD">
      <w:r>
        <w:separator/>
      </w:r>
    </w:p>
  </w:footnote>
  <w:footnote w:type="continuationSeparator" w:id="0">
    <w:p w14:paraId="4FAEA133" w14:textId="77777777" w:rsidR="006E7EBD" w:rsidRDefault="006E7E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BA7213" w14:textId="77777777" w:rsidR="00CB37CB" w:rsidRDefault="00CB37CB" w:rsidP="00B273C2">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38B6F1E2" w14:textId="77777777" w:rsidR="00CB37CB" w:rsidRDefault="00CB37C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3FCA98" w14:textId="77777777" w:rsidR="00CB37CB" w:rsidRDefault="00CB37CB" w:rsidP="00B273C2">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EC5DB7">
      <w:rPr>
        <w:rStyle w:val="PageNumber"/>
        <w:noProof/>
      </w:rPr>
      <w:t>2</w:t>
    </w:r>
    <w:r>
      <w:rPr>
        <w:rStyle w:val="PageNumber"/>
      </w:rPr>
      <w:fldChar w:fldCharType="end"/>
    </w:r>
  </w:p>
  <w:p w14:paraId="3A4C0754" w14:textId="4913F62A" w:rsidR="00CB37CB" w:rsidRDefault="00225A98" w:rsidP="00EC5DB7">
    <w:pPr>
      <w:pStyle w:val="Header"/>
      <w:jc w:val="center"/>
      <w:rPr>
        <w:lang w:val="en-US"/>
      </w:rPr>
    </w:pPr>
    <w:r w:rsidRPr="00F43B64">
      <w:rPr>
        <w:noProof/>
        <w:lang w:val="bg-BG" w:eastAsia="bg-BG"/>
      </w:rPr>
      <w:drawing>
        <wp:inline distT="0" distB="0" distL="0" distR="0" wp14:anchorId="7C0D1758" wp14:editId="2825B16A">
          <wp:extent cx="3810000" cy="960120"/>
          <wp:effectExtent l="0" t="0" r="0" b="0"/>
          <wp:docPr id="1" name="Picture 1" descr="C:\Users\S73E9~1.IVA\AppData\Local\Temp\Rar$DIa0.216\BG Финансирано от Европейския съюз_P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73E9~1.IVA\AppData\Local\Temp\Rar$DIa0.216\BG Финансирано от Европейския съюз_PO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10000" cy="960120"/>
                  </a:xfrm>
                  <a:prstGeom prst="rect">
                    <a:avLst/>
                  </a:prstGeom>
                  <a:noFill/>
                  <a:ln>
                    <a:noFill/>
                  </a:ln>
                </pic:spPr>
              </pic:pic>
            </a:graphicData>
          </a:graphic>
        </wp:inline>
      </w:drawing>
    </w:r>
  </w:p>
  <w:p w14:paraId="11C200C1" w14:textId="77777777" w:rsidR="00CB37CB" w:rsidRPr="00D750ED" w:rsidRDefault="00CB37CB">
    <w:pPr>
      <w:pStyle w:val="Header"/>
      <w:rPr>
        <w:lang w:val="en-U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E2421A" w14:textId="06D0D645" w:rsidR="00F43B64" w:rsidRDefault="00225A98" w:rsidP="00F43B64">
    <w:pPr>
      <w:pStyle w:val="Header"/>
      <w:jc w:val="center"/>
    </w:pPr>
    <w:r w:rsidRPr="00F43B64">
      <w:rPr>
        <w:noProof/>
        <w:lang w:val="bg-BG" w:eastAsia="bg-BG"/>
      </w:rPr>
      <w:drawing>
        <wp:inline distT="0" distB="0" distL="0" distR="0" wp14:anchorId="1D457E49" wp14:editId="1C6C6E51">
          <wp:extent cx="3810000" cy="960120"/>
          <wp:effectExtent l="0" t="0" r="0" b="0"/>
          <wp:docPr id="2" name="Picture 1" descr="C:\Users\S73E9~1.IVA\AppData\Local\Temp\Rar$DIa0.216\BG Финансирано от Европейския съюз_P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73E9~1.IVA\AppData\Local\Temp\Rar$DIa0.216\BG Финансирано от Европейския съюз_PO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10000" cy="96012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1B1418B"/>
    <w:multiLevelType w:val="hybridMultilevel"/>
    <w:tmpl w:val="5E4E37B6"/>
    <w:lvl w:ilvl="0" w:tplc="0402000F">
      <w:start w:val="1"/>
      <w:numFmt w:val="decimal"/>
      <w:lvlText w:val="%1."/>
      <w:lvlJc w:val="left"/>
      <w:pPr>
        <w:tabs>
          <w:tab w:val="num" w:pos="1476"/>
        </w:tabs>
        <w:ind w:left="1476" w:hanging="360"/>
      </w:pPr>
    </w:lvl>
    <w:lvl w:ilvl="1" w:tplc="04020019" w:tentative="1">
      <w:start w:val="1"/>
      <w:numFmt w:val="lowerLetter"/>
      <w:lvlText w:val="%2."/>
      <w:lvlJc w:val="left"/>
      <w:pPr>
        <w:tabs>
          <w:tab w:val="num" w:pos="2196"/>
        </w:tabs>
        <w:ind w:left="2196" w:hanging="360"/>
      </w:pPr>
    </w:lvl>
    <w:lvl w:ilvl="2" w:tplc="0402001B" w:tentative="1">
      <w:start w:val="1"/>
      <w:numFmt w:val="lowerRoman"/>
      <w:lvlText w:val="%3."/>
      <w:lvlJc w:val="right"/>
      <w:pPr>
        <w:tabs>
          <w:tab w:val="num" w:pos="2916"/>
        </w:tabs>
        <w:ind w:left="2916" w:hanging="180"/>
      </w:pPr>
    </w:lvl>
    <w:lvl w:ilvl="3" w:tplc="0402000F" w:tentative="1">
      <w:start w:val="1"/>
      <w:numFmt w:val="decimal"/>
      <w:lvlText w:val="%4."/>
      <w:lvlJc w:val="left"/>
      <w:pPr>
        <w:tabs>
          <w:tab w:val="num" w:pos="3636"/>
        </w:tabs>
        <w:ind w:left="3636" w:hanging="360"/>
      </w:pPr>
    </w:lvl>
    <w:lvl w:ilvl="4" w:tplc="04020019" w:tentative="1">
      <w:start w:val="1"/>
      <w:numFmt w:val="lowerLetter"/>
      <w:lvlText w:val="%5."/>
      <w:lvlJc w:val="left"/>
      <w:pPr>
        <w:tabs>
          <w:tab w:val="num" w:pos="4356"/>
        </w:tabs>
        <w:ind w:left="4356" w:hanging="360"/>
      </w:pPr>
    </w:lvl>
    <w:lvl w:ilvl="5" w:tplc="0402001B" w:tentative="1">
      <w:start w:val="1"/>
      <w:numFmt w:val="lowerRoman"/>
      <w:lvlText w:val="%6."/>
      <w:lvlJc w:val="right"/>
      <w:pPr>
        <w:tabs>
          <w:tab w:val="num" w:pos="5076"/>
        </w:tabs>
        <w:ind w:left="5076" w:hanging="180"/>
      </w:pPr>
    </w:lvl>
    <w:lvl w:ilvl="6" w:tplc="0402000F" w:tentative="1">
      <w:start w:val="1"/>
      <w:numFmt w:val="decimal"/>
      <w:lvlText w:val="%7."/>
      <w:lvlJc w:val="left"/>
      <w:pPr>
        <w:tabs>
          <w:tab w:val="num" w:pos="5796"/>
        </w:tabs>
        <w:ind w:left="5796" w:hanging="360"/>
      </w:pPr>
    </w:lvl>
    <w:lvl w:ilvl="7" w:tplc="04020019" w:tentative="1">
      <w:start w:val="1"/>
      <w:numFmt w:val="lowerLetter"/>
      <w:lvlText w:val="%8."/>
      <w:lvlJc w:val="left"/>
      <w:pPr>
        <w:tabs>
          <w:tab w:val="num" w:pos="6516"/>
        </w:tabs>
        <w:ind w:left="6516" w:hanging="360"/>
      </w:pPr>
    </w:lvl>
    <w:lvl w:ilvl="8" w:tplc="0402001B" w:tentative="1">
      <w:start w:val="1"/>
      <w:numFmt w:val="lowerRoman"/>
      <w:lvlText w:val="%9."/>
      <w:lvlJc w:val="right"/>
      <w:pPr>
        <w:tabs>
          <w:tab w:val="num" w:pos="7236"/>
        </w:tabs>
        <w:ind w:left="7236" w:hanging="180"/>
      </w:pPr>
    </w:lvl>
  </w:abstractNum>
  <w:abstractNum w:abstractNumId="1" w15:restartNumberingAfterBreak="0">
    <w:nsid w:val="25073EF9"/>
    <w:multiLevelType w:val="hybridMultilevel"/>
    <w:tmpl w:val="1FAC76C4"/>
    <w:lvl w:ilvl="0" w:tplc="0402000F">
      <w:start w:val="1"/>
      <w:numFmt w:val="decimal"/>
      <w:lvlText w:val="%1."/>
      <w:lvlJc w:val="left"/>
      <w:pPr>
        <w:tabs>
          <w:tab w:val="num" w:pos="720"/>
        </w:tabs>
        <w:ind w:left="720" w:hanging="360"/>
      </w:pPr>
    </w:lvl>
    <w:lvl w:ilvl="1" w:tplc="04020019" w:tentative="1">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2" w15:restartNumberingAfterBreak="0">
    <w:nsid w:val="629540FC"/>
    <w:multiLevelType w:val="hybridMultilevel"/>
    <w:tmpl w:val="66E4CD58"/>
    <w:lvl w:ilvl="0" w:tplc="43FA5C66">
      <w:start w:val="1"/>
      <w:numFmt w:val="bullet"/>
      <w:lvlText w:val="-"/>
      <w:lvlJc w:val="left"/>
      <w:pPr>
        <w:tabs>
          <w:tab w:val="num" w:pos="1114"/>
        </w:tabs>
        <w:ind w:left="1114" w:hanging="360"/>
      </w:pPr>
      <w:rPr>
        <w:rFonts w:ascii="Courier New" w:hAnsi="Courier New" w:hint="default"/>
      </w:rPr>
    </w:lvl>
    <w:lvl w:ilvl="1" w:tplc="04020003" w:tentative="1">
      <w:start w:val="1"/>
      <w:numFmt w:val="bullet"/>
      <w:lvlText w:val="o"/>
      <w:lvlJc w:val="left"/>
      <w:pPr>
        <w:tabs>
          <w:tab w:val="num" w:pos="1834"/>
        </w:tabs>
        <w:ind w:left="1834" w:hanging="360"/>
      </w:pPr>
      <w:rPr>
        <w:rFonts w:ascii="Courier New" w:hAnsi="Courier New" w:cs="Courier New" w:hint="default"/>
      </w:rPr>
    </w:lvl>
    <w:lvl w:ilvl="2" w:tplc="04020005" w:tentative="1">
      <w:start w:val="1"/>
      <w:numFmt w:val="bullet"/>
      <w:lvlText w:val=""/>
      <w:lvlJc w:val="left"/>
      <w:pPr>
        <w:tabs>
          <w:tab w:val="num" w:pos="2554"/>
        </w:tabs>
        <w:ind w:left="2554" w:hanging="360"/>
      </w:pPr>
      <w:rPr>
        <w:rFonts w:ascii="Wingdings" w:hAnsi="Wingdings" w:hint="default"/>
      </w:rPr>
    </w:lvl>
    <w:lvl w:ilvl="3" w:tplc="04020001" w:tentative="1">
      <w:start w:val="1"/>
      <w:numFmt w:val="bullet"/>
      <w:lvlText w:val=""/>
      <w:lvlJc w:val="left"/>
      <w:pPr>
        <w:tabs>
          <w:tab w:val="num" w:pos="3274"/>
        </w:tabs>
        <w:ind w:left="3274" w:hanging="360"/>
      </w:pPr>
      <w:rPr>
        <w:rFonts w:ascii="Symbol" w:hAnsi="Symbol" w:hint="default"/>
      </w:rPr>
    </w:lvl>
    <w:lvl w:ilvl="4" w:tplc="04020003" w:tentative="1">
      <w:start w:val="1"/>
      <w:numFmt w:val="bullet"/>
      <w:lvlText w:val="o"/>
      <w:lvlJc w:val="left"/>
      <w:pPr>
        <w:tabs>
          <w:tab w:val="num" w:pos="3994"/>
        </w:tabs>
        <w:ind w:left="3994" w:hanging="360"/>
      </w:pPr>
      <w:rPr>
        <w:rFonts w:ascii="Courier New" w:hAnsi="Courier New" w:cs="Courier New" w:hint="default"/>
      </w:rPr>
    </w:lvl>
    <w:lvl w:ilvl="5" w:tplc="04020005" w:tentative="1">
      <w:start w:val="1"/>
      <w:numFmt w:val="bullet"/>
      <w:lvlText w:val=""/>
      <w:lvlJc w:val="left"/>
      <w:pPr>
        <w:tabs>
          <w:tab w:val="num" w:pos="4714"/>
        </w:tabs>
        <w:ind w:left="4714" w:hanging="360"/>
      </w:pPr>
      <w:rPr>
        <w:rFonts w:ascii="Wingdings" w:hAnsi="Wingdings" w:hint="default"/>
      </w:rPr>
    </w:lvl>
    <w:lvl w:ilvl="6" w:tplc="04020001" w:tentative="1">
      <w:start w:val="1"/>
      <w:numFmt w:val="bullet"/>
      <w:lvlText w:val=""/>
      <w:lvlJc w:val="left"/>
      <w:pPr>
        <w:tabs>
          <w:tab w:val="num" w:pos="5434"/>
        </w:tabs>
        <w:ind w:left="5434" w:hanging="360"/>
      </w:pPr>
      <w:rPr>
        <w:rFonts w:ascii="Symbol" w:hAnsi="Symbol" w:hint="default"/>
      </w:rPr>
    </w:lvl>
    <w:lvl w:ilvl="7" w:tplc="04020003" w:tentative="1">
      <w:start w:val="1"/>
      <w:numFmt w:val="bullet"/>
      <w:lvlText w:val="o"/>
      <w:lvlJc w:val="left"/>
      <w:pPr>
        <w:tabs>
          <w:tab w:val="num" w:pos="6154"/>
        </w:tabs>
        <w:ind w:left="6154" w:hanging="360"/>
      </w:pPr>
      <w:rPr>
        <w:rFonts w:ascii="Courier New" w:hAnsi="Courier New" w:cs="Courier New" w:hint="default"/>
      </w:rPr>
    </w:lvl>
    <w:lvl w:ilvl="8" w:tplc="04020005" w:tentative="1">
      <w:start w:val="1"/>
      <w:numFmt w:val="bullet"/>
      <w:lvlText w:val=""/>
      <w:lvlJc w:val="left"/>
      <w:pPr>
        <w:tabs>
          <w:tab w:val="num" w:pos="6874"/>
        </w:tabs>
        <w:ind w:left="6874" w:hanging="360"/>
      </w:pPr>
      <w:rPr>
        <w:rFonts w:ascii="Wingdings" w:hAnsi="Wingdings" w:hint="default"/>
      </w:rPr>
    </w:lvl>
  </w:abstractNum>
  <w:abstractNum w:abstractNumId="3" w15:restartNumberingAfterBreak="0">
    <w:nsid w:val="734E45B8"/>
    <w:multiLevelType w:val="hybridMultilevel"/>
    <w:tmpl w:val="D6F2925C"/>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num w:numId="1" w16cid:durableId="1719164450">
    <w:abstractNumId w:val="2"/>
  </w:num>
  <w:num w:numId="2" w16cid:durableId="1995210625">
    <w:abstractNumId w:val="0"/>
  </w:num>
  <w:num w:numId="3" w16cid:durableId="1928075616">
    <w:abstractNumId w:val="3"/>
  </w:num>
  <w:num w:numId="4" w16cid:durableId="83199391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73C2"/>
    <w:rsid w:val="00012C31"/>
    <w:rsid w:val="000146A2"/>
    <w:rsid w:val="00017E28"/>
    <w:rsid w:val="000436EA"/>
    <w:rsid w:val="00050E6F"/>
    <w:rsid w:val="00056466"/>
    <w:rsid w:val="00057218"/>
    <w:rsid w:val="000A4C17"/>
    <w:rsid w:val="000B7154"/>
    <w:rsid w:val="000E3B0B"/>
    <w:rsid w:val="00136E4B"/>
    <w:rsid w:val="0014781B"/>
    <w:rsid w:val="00190671"/>
    <w:rsid w:val="001C0A75"/>
    <w:rsid w:val="001D0FE0"/>
    <w:rsid w:val="001E1995"/>
    <w:rsid w:val="001E2B97"/>
    <w:rsid w:val="00200EA7"/>
    <w:rsid w:val="00225A98"/>
    <w:rsid w:val="0024727E"/>
    <w:rsid w:val="002544A8"/>
    <w:rsid w:val="0027017A"/>
    <w:rsid w:val="00291D79"/>
    <w:rsid w:val="002A492E"/>
    <w:rsid w:val="002B076A"/>
    <w:rsid w:val="002D12AE"/>
    <w:rsid w:val="002E1D64"/>
    <w:rsid w:val="002F10B6"/>
    <w:rsid w:val="00316ACB"/>
    <w:rsid w:val="00322694"/>
    <w:rsid w:val="00324CA7"/>
    <w:rsid w:val="00343510"/>
    <w:rsid w:val="003711DF"/>
    <w:rsid w:val="0037140F"/>
    <w:rsid w:val="003D7E19"/>
    <w:rsid w:val="004028E6"/>
    <w:rsid w:val="0046265B"/>
    <w:rsid w:val="004726A9"/>
    <w:rsid w:val="00493CF0"/>
    <w:rsid w:val="0049571C"/>
    <w:rsid w:val="004962E4"/>
    <w:rsid w:val="00496C8D"/>
    <w:rsid w:val="004A137A"/>
    <w:rsid w:val="004A4B83"/>
    <w:rsid w:val="004C164A"/>
    <w:rsid w:val="004C5699"/>
    <w:rsid w:val="004F56F1"/>
    <w:rsid w:val="005210B4"/>
    <w:rsid w:val="00523183"/>
    <w:rsid w:val="005258B3"/>
    <w:rsid w:val="00540A4D"/>
    <w:rsid w:val="00543EC5"/>
    <w:rsid w:val="005553D9"/>
    <w:rsid w:val="0059024A"/>
    <w:rsid w:val="0059400D"/>
    <w:rsid w:val="005967A8"/>
    <w:rsid w:val="005F3454"/>
    <w:rsid w:val="00611830"/>
    <w:rsid w:val="00615478"/>
    <w:rsid w:val="00634BC0"/>
    <w:rsid w:val="00692A47"/>
    <w:rsid w:val="006B389E"/>
    <w:rsid w:val="006D1001"/>
    <w:rsid w:val="006E7EBD"/>
    <w:rsid w:val="006F48D4"/>
    <w:rsid w:val="00704D95"/>
    <w:rsid w:val="0074430C"/>
    <w:rsid w:val="00746B76"/>
    <w:rsid w:val="00750A83"/>
    <w:rsid w:val="00766016"/>
    <w:rsid w:val="00766687"/>
    <w:rsid w:val="007708BF"/>
    <w:rsid w:val="00771641"/>
    <w:rsid w:val="00781B64"/>
    <w:rsid w:val="007C4D60"/>
    <w:rsid w:val="007C56D6"/>
    <w:rsid w:val="007D1BBF"/>
    <w:rsid w:val="007D4047"/>
    <w:rsid w:val="00815E43"/>
    <w:rsid w:val="00821FF4"/>
    <w:rsid w:val="00827F72"/>
    <w:rsid w:val="00896DD3"/>
    <w:rsid w:val="008B25B6"/>
    <w:rsid w:val="008C46F5"/>
    <w:rsid w:val="008C5A59"/>
    <w:rsid w:val="008D2732"/>
    <w:rsid w:val="008D5200"/>
    <w:rsid w:val="008F2410"/>
    <w:rsid w:val="009513E5"/>
    <w:rsid w:val="00961002"/>
    <w:rsid w:val="009D47B7"/>
    <w:rsid w:val="00A03286"/>
    <w:rsid w:val="00A05E7C"/>
    <w:rsid w:val="00A12FE6"/>
    <w:rsid w:val="00A20EA2"/>
    <w:rsid w:val="00A24A28"/>
    <w:rsid w:val="00A267DD"/>
    <w:rsid w:val="00A50A4C"/>
    <w:rsid w:val="00A703DC"/>
    <w:rsid w:val="00A72097"/>
    <w:rsid w:val="00A76301"/>
    <w:rsid w:val="00AA5191"/>
    <w:rsid w:val="00AB2487"/>
    <w:rsid w:val="00AC1545"/>
    <w:rsid w:val="00AC3243"/>
    <w:rsid w:val="00AC4C88"/>
    <w:rsid w:val="00AD57F4"/>
    <w:rsid w:val="00AF3F83"/>
    <w:rsid w:val="00AF6054"/>
    <w:rsid w:val="00B01669"/>
    <w:rsid w:val="00B273C2"/>
    <w:rsid w:val="00BD39EC"/>
    <w:rsid w:val="00BD5F33"/>
    <w:rsid w:val="00BE7581"/>
    <w:rsid w:val="00C23EED"/>
    <w:rsid w:val="00C820DF"/>
    <w:rsid w:val="00C82D0B"/>
    <w:rsid w:val="00C84AE1"/>
    <w:rsid w:val="00C91EFA"/>
    <w:rsid w:val="00C9339D"/>
    <w:rsid w:val="00CA02DB"/>
    <w:rsid w:val="00CA1D9C"/>
    <w:rsid w:val="00CA3B5C"/>
    <w:rsid w:val="00CA77C3"/>
    <w:rsid w:val="00CB37CB"/>
    <w:rsid w:val="00CC6728"/>
    <w:rsid w:val="00CD2E11"/>
    <w:rsid w:val="00CE5E96"/>
    <w:rsid w:val="00CF45B3"/>
    <w:rsid w:val="00D26E8B"/>
    <w:rsid w:val="00D4462E"/>
    <w:rsid w:val="00D92FFF"/>
    <w:rsid w:val="00DF7BBB"/>
    <w:rsid w:val="00E177C8"/>
    <w:rsid w:val="00E25548"/>
    <w:rsid w:val="00E45F60"/>
    <w:rsid w:val="00E65F9F"/>
    <w:rsid w:val="00E818C8"/>
    <w:rsid w:val="00EC5DB7"/>
    <w:rsid w:val="00ED1B92"/>
    <w:rsid w:val="00ED42B2"/>
    <w:rsid w:val="00F12AFD"/>
    <w:rsid w:val="00F14429"/>
    <w:rsid w:val="00F34E30"/>
    <w:rsid w:val="00F42F85"/>
    <w:rsid w:val="00F439CD"/>
    <w:rsid w:val="00F43B64"/>
    <w:rsid w:val="00F52DA7"/>
    <w:rsid w:val="00F55AC0"/>
    <w:rsid w:val="00F671F6"/>
    <w:rsid w:val="00F73749"/>
    <w:rsid w:val="00F8197C"/>
    <w:rsid w:val="00F861E5"/>
    <w:rsid w:val="00F95992"/>
    <w:rsid w:val="00FA2359"/>
    <w:rsid w:val="00FD1E8B"/>
    <w:rsid w:val="00FE0542"/>
    <w:rsid w:val="00FF6E58"/>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3B60919"/>
  <w15:chartTrackingRefBased/>
  <w15:docId w15:val="{D6EFD602-7794-4DD8-A84F-36597CD0EE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bg-BG" w:eastAsia="bg-BG"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qFormat="1"/>
    <w:lsdException w:name="heading 8" w:semiHidden="1" w:unhideWhenUsed="1" w:qFormat="1"/>
    <w:lsdException w:name="heading 9" w:semiHidden="1" w:unhideWhenUsed="1" w:qFormat="1"/>
    <w:lsdException w:name="header" w:uiPriority="9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273C2"/>
    <w:rPr>
      <w:rFonts w:ascii="HebarU" w:hAnsi="HebarU"/>
      <w:sz w:val="24"/>
      <w:lang w:eastAsia="en-US"/>
    </w:rPr>
  </w:style>
  <w:style w:type="paragraph" w:styleId="Heading2">
    <w:name w:val="heading 2"/>
    <w:basedOn w:val="Normal"/>
    <w:next w:val="Normal"/>
    <w:qFormat/>
    <w:rsid w:val="0046265B"/>
    <w:pPr>
      <w:keepNext/>
      <w:spacing w:before="240" w:after="60"/>
      <w:outlineLvl w:val="1"/>
    </w:pPr>
    <w:rPr>
      <w:rFonts w:ascii="Arial" w:hAnsi="Arial" w:cs="Arial"/>
      <w:b/>
      <w:bCs/>
      <w:i/>
      <w:iCs/>
      <w:sz w:val="28"/>
      <w:szCs w:val="28"/>
      <w:lang w:eastAsia="bg-BG"/>
    </w:rPr>
  </w:style>
  <w:style w:type="paragraph" w:styleId="Heading7">
    <w:name w:val="heading 7"/>
    <w:basedOn w:val="Normal"/>
    <w:next w:val="Normal"/>
    <w:qFormat/>
    <w:rsid w:val="00B273C2"/>
    <w:pPr>
      <w:keepNext/>
      <w:pBdr>
        <w:bottom w:val="single" w:sz="6" w:space="1" w:color="auto"/>
      </w:pBdr>
      <w:jc w:val="center"/>
      <w:outlineLvl w:val="6"/>
    </w:pPr>
    <w:rPr>
      <w:rFonts w:ascii="Times New Roman" w:hAnsi="Times New Roman"/>
      <w:b/>
      <w:spacing w:val="300"/>
      <w:kern w:val="144"/>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B273C2"/>
    <w:pPr>
      <w:tabs>
        <w:tab w:val="center" w:pos="4153"/>
        <w:tab w:val="right" w:pos="8306"/>
      </w:tabs>
    </w:pPr>
    <w:rPr>
      <w:lang w:val="x-none"/>
    </w:rPr>
  </w:style>
  <w:style w:type="paragraph" w:styleId="Footer">
    <w:name w:val="footer"/>
    <w:basedOn w:val="Normal"/>
    <w:rsid w:val="00B273C2"/>
    <w:pPr>
      <w:tabs>
        <w:tab w:val="center" w:pos="4153"/>
        <w:tab w:val="right" w:pos="8306"/>
      </w:tabs>
    </w:pPr>
  </w:style>
  <w:style w:type="paragraph" w:styleId="Caption">
    <w:name w:val="caption"/>
    <w:basedOn w:val="Normal"/>
    <w:next w:val="Normal"/>
    <w:qFormat/>
    <w:rsid w:val="00B273C2"/>
    <w:pPr>
      <w:spacing w:before="20" w:after="20"/>
      <w:jc w:val="center"/>
    </w:pPr>
    <w:rPr>
      <w:rFonts w:ascii="Times New Roman" w:hAnsi="Times New Roman"/>
      <w:b/>
      <w:caps/>
      <w:sz w:val="22"/>
    </w:rPr>
  </w:style>
  <w:style w:type="character" w:styleId="PageNumber">
    <w:name w:val="page number"/>
    <w:basedOn w:val="DefaultParagraphFont"/>
    <w:rsid w:val="00B273C2"/>
  </w:style>
  <w:style w:type="paragraph" w:customStyle="1" w:styleId="CharCharCharCharCharCharChar">
    <w:name w:val="Char Char Знак Знак Char Знак Знак Char Char Char Знак Знак Char"/>
    <w:basedOn w:val="Normal"/>
    <w:rsid w:val="00012C31"/>
    <w:pPr>
      <w:tabs>
        <w:tab w:val="left" w:pos="709"/>
      </w:tabs>
    </w:pPr>
    <w:rPr>
      <w:rFonts w:ascii="Tahoma" w:hAnsi="Tahoma"/>
      <w:szCs w:val="24"/>
      <w:lang w:val="pl-PL" w:eastAsia="pl-PL"/>
    </w:rPr>
  </w:style>
  <w:style w:type="character" w:customStyle="1" w:styleId="nomark">
    <w:name w:val="nomark"/>
    <w:basedOn w:val="DefaultParagraphFont"/>
    <w:rsid w:val="00012C31"/>
  </w:style>
  <w:style w:type="table" w:styleId="TableGrid">
    <w:name w:val="Table Grid"/>
    <w:basedOn w:val="TableNormal"/>
    <w:rsid w:val="004957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Normal"/>
    <w:semiHidden/>
    <w:rsid w:val="00F52DA7"/>
    <w:pPr>
      <w:tabs>
        <w:tab w:val="left" w:pos="709"/>
      </w:tabs>
    </w:pPr>
    <w:rPr>
      <w:rFonts w:ascii="Futura Bk" w:hAnsi="Futura Bk"/>
      <w:noProof/>
      <w:sz w:val="20"/>
      <w:szCs w:val="24"/>
      <w:lang w:val="pl-PL" w:eastAsia="pl-PL"/>
    </w:rPr>
  </w:style>
  <w:style w:type="paragraph" w:styleId="BalloonText">
    <w:name w:val="Balloon Text"/>
    <w:basedOn w:val="Normal"/>
    <w:semiHidden/>
    <w:rsid w:val="00ED42B2"/>
    <w:rPr>
      <w:rFonts w:ascii="Tahoma" w:hAnsi="Tahoma" w:cs="Tahoma"/>
      <w:sz w:val="16"/>
      <w:szCs w:val="16"/>
    </w:rPr>
  </w:style>
  <w:style w:type="paragraph" w:customStyle="1" w:styleId="firstline">
    <w:name w:val="firstline"/>
    <w:basedOn w:val="Normal"/>
    <w:rsid w:val="00CB37CB"/>
    <w:pPr>
      <w:spacing w:line="240" w:lineRule="atLeast"/>
      <w:ind w:firstLine="640"/>
      <w:jc w:val="both"/>
    </w:pPr>
    <w:rPr>
      <w:rFonts w:ascii="Times New Roman" w:hAnsi="Times New Roman"/>
      <w:color w:val="000000"/>
      <w:szCs w:val="24"/>
      <w:lang w:eastAsia="bg-BG"/>
    </w:rPr>
  </w:style>
  <w:style w:type="character" w:styleId="Hyperlink">
    <w:name w:val="Hyperlink"/>
    <w:rsid w:val="00CA02DB"/>
    <w:rPr>
      <w:color w:val="0000FF"/>
      <w:u w:val="single"/>
    </w:rPr>
  </w:style>
  <w:style w:type="character" w:customStyle="1" w:styleId="HeaderChar">
    <w:name w:val="Header Char"/>
    <w:link w:val="Header"/>
    <w:uiPriority w:val="99"/>
    <w:rsid w:val="003711DF"/>
    <w:rPr>
      <w:rFonts w:ascii="HebarU" w:hAnsi="HebarU"/>
      <w:sz w:val="24"/>
      <w:lang w:eastAsia="en-US"/>
    </w:rPr>
  </w:style>
  <w:style w:type="character" w:styleId="CommentReference">
    <w:name w:val="annotation reference"/>
    <w:rsid w:val="00C91EFA"/>
    <w:rPr>
      <w:sz w:val="16"/>
      <w:szCs w:val="16"/>
    </w:rPr>
  </w:style>
  <w:style w:type="paragraph" w:styleId="CommentText">
    <w:name w:val="annotation text"/>
    <w:basedOn w:val="Normal"/>
    <w:link w:val="CommentTextChar"/>
    <w:rsid w:val="00C91EFA"/>
    <w:rPr>
      <w:sz w:val="20"/>
    </w:rPr>
  </w:style>
  <w:style w:type="character" w:customStyle="1" w:styleId="CommentTextChar">
    <w:name w:val="Comment Text Char"/>
    <w:link w:val="CommentText"/>
    <w:rsid w:val="00C91EFA"/>
    <w:rPr>
      <w:rFonts w:ascii="HebarU" w:hAnsi="HebarU"/>
      <w:lang w:eastAsia="en-US"/>
    </w:rPr>
  </w:style>
  <w:style w:type="paragraph" w:styleId="CommentSubject">
    <w:name w:val="annotation subject"/>
    <w:basedOn w:val="CommentText"/>
    <w:next w:val="CommentText"/>
    <w:link w:val="CommentSubjectChar"/>
    <w:rsid w:val="00C91EFA"/>
    <w:rPr>
      <w:b/>
      <w:bCs/>
    </w:rPr>
  </w:style>
  <w:style w:type="character" w:customStyle="1" w:styleId="CommentSubjectChar">
    <w:name w:val="Comment Subject Char"/>
    <w:link w:val="CommentSubject"/>
    <w:rsid w:val="00C91EFA"/>
    <w:rPr>
      <w:rFonts w:ascii="HebarU" w:hAnsi="HebarU"/>
      <w:b/>
      <w:bCs/>
      <w:lang w:eastAsia="en-US"/>
    </w:rPr>
  </w:style>
  <w:style w:type="paragraph" w:styleId="ListParagraph">
    <w:name w:val="List Paragraph"/>
    <w:basedOn w:val="Normal"/>
    <w:uiPriority w:val="34"/>
    <w:qFormat/>
    <w:rsid w:val="00225A9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A4096B-CFED-4D6C-9DC1-691D47970E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1019</TotalTime>
  <Pages>1</Pages>
  <Words>486</Words>
  <Characters>2772</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vt:lpstr>
    </vt:vector>
  </TitlesOfParts>
  <Company>Council of Ministers</Company>
  <LinksUpToDate>false</LinksUpToDate>
  <CharactersWithSpaces>3252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title>
  <dc:subject/>
  <dc:creator>a.toteva</dc:creator>
  <cp:keywords/>
  <cp:lastModifiedBy>Diana Jordanova</cp:lastModifiedBy>
  <cp:revision>6</cp:revision>
  <cp:lastPrinted>2011-03-29T11:47:00Z</cp:lastPrinted>
  <dcterms:created xsi:type="dcterms:W3CDTF">2023-04-25T09:51:00Z</dcterms:created>
  <dcterms:modified xsi:type="dcterms:W3CDTF">2024-07-16T15:06:00Z</dcterms:modified>
</cp:coreProperties>
</file>